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46BD" w14:textId="77777777" w:rsidR="00061B12" w:rsidRDefault="00061B12">
      <w:r>
        <w:rPr>
          <w:noProof/>
        </w:rPr>
        <w:drawing>
          <wp:inline distT="0" distB="0" distL="0" distR="0" wp14:anchorId="67B1E353" wp14:editId="2E6AC50A">
            <wp:extent cx="5760720" cy="2171700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02"/>
        <w:gridCol w:w="1569"/>
      </w:tblGrid>
      <w:tr w:rsidR="00FB5B85" w:rsidRPr="00BC38FA" w14:paraId="693C4500" w14:textId="77777777" w:rsidTr="0039666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BA822" w14:textId="77777777" w:rsidR="00FB5B85" w:rsidRPr="00BC38FA" w:rsidRDefault="00FB5B85" w:rsidP="004E5CC9"/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14:paraId="499E1AA2" w14:textId="77777777" w:rsidR="00061B12" w:rsidRPr="00BC38FA" w:rsidRDefault="00061B12" w:rsidP="004E5C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170A379" w14:textId="77777777" w:rsidR="00FB5B85" w:rsidRPr="00BC38FA" w:rsidRDefault="00FB5B85" w:rsidP="004E5CC9"/>
        </w:tc>
      </w:tr>
    </w:tbl>
    <w:p w14:paraId="48300E5B" w14:textId="77777777" w:rsidR="00FB5B85" w:rsidRPr="004A01CE" w:rsidRDefault="00FB5B85" w:rsidP="00FB5B85">
      <w:pPr>
        <w:jc w:val="center"/>
        <w:rPr>
          <w:color w:val="1F4E79" w:themeColor="accent1" w:themeShade="80"/>
          <w:sz w:val="36"/>
          <w:szCs w:val="36"/>
        </w:rPr>
      </w:pPr>
      <w:r w:rsidRPr="004A01CE">
        <w:rPr>
          <w:color w:val="1F4E79" w:themeColor="accent1" w:themeShade="80"/>
          <w:sz w:val="36"/>
          <w:szCs w:val="36"/>
        </w:rPr>
        <w:t>Halottak napja</w:t>
      </w:r>
      <w:r w:rsidR="004A01CE">
        <w:rPr>
          <w:color w:val="1F4E79" w:themeColor="accent1" w:themeShade="80"/>
          <w:sz w:val="36"/>
          <w:szCs w:val="36"/>
        </w:rPr>
        <w:t>,</w:t>
      </w:r>
      <w:r w:rsidR="004A01CE" w:rsidRPr="004A01CE">
        <w:rPr>
          <w:color w:val="1F4E79" w:themeColor="accent1" w:themeShade="80"/>
          <w:sz w:val="36"/>
          <w:szCs w:val="36"/>
        </w:rPr>
        <w:t xml:space="preserve"> Mindenszentek</w:t>
      </w:r>
    </w:p>
    <w:p w14:paraId="76A38E79" w14:textId="77777777" w:rsidR="00FB5B85" w:rsidRPr="004A01CE" w:rsidRDefault="006F0C51" w:rsidP="00FB5B85">
      <w:pPr>
        <w:jc w:val="center"/>
        <w:rPr>
          <w:color w:val="1F4E79" w:themeColor="accent1" w:themeShade="80"/>
          <w:sz w:val="36"/>
          <w:szCs w:val="36"/>
        </w:rPr>
      </w:pPr>
      <w:r w:rsidRPr="004A01CE">
        <w:rPr>
          <w:color w:val="1F4E79" w:themeColor="accent1" w:themeShade="80"/>
          <w:sz w:val="36"/>
          <w:szCs w:val="36"/>
        </w:rPr>
        <w:t>Vigyázzunk értékeinkre!</w:t>
      </w:r>
    </w:p>
    <w:p w14:paraId="7B9DBADA" w14:textId="77777777" w:rsidR="00FB5B85" w:rsidRDefault="00FB5B85" w:rsidP="00FB5B85">
      <w:pPr>
        <w:jc w:val="center"/>
        <w:rPr>
          <w:color w:val="1F4E79" w:themeColor="accent1" w:themeShade="80"/>
          <w:sz w:val="36"/>
          <w:szCs w:val="36"/>
        </w:rPr>
      </w:pPr>
    </w:p>
    <w:p w14:paraId="6D1649FC" w14:textId="77777777" w:rsidR="00490B1C" w:rsidRDefault="006F0C51" w:rsidP="00FB5B85">
      <w:p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 xml:space="preserve">Mindenszentek és halottak napja alkalmából az </w:t>
      </w:r>
      <w:r w:rsidR="004A01CE">
        <w:rPr>
          <w:b w:val="0"/>
          <w:color w:val="002060"/>
          <w:sz w:val="28"/>
          <w:szCs w:val="28"/>
        </w:rPr>
        <w:t xml:space="preserve">elhunyt szeretteinkre emlékezünk. Szinte az </w:t>
      </w:r>
      <w:r>
        <w:rPr>
          <w:b w:val="0"/>
          <w:color w:val="002060"/>
          <w:sz w:val="28"/>
          <w:szCs w:val="28"/>
        </w:rPr>
        <w:t xml:space="preserve">egész ország útra kel, hogy gyertyát gyújtson és virággal emlékezzen meg </w:t>
      </w:r>
      <w:r w:rsidR="004A01CE">
        <w:rPr>
          <w:b w:val="0"/>
          <w:color w:val="002060"/>
          <w:sz w:val="28"/>
          <w:szCs w:val="28"/>
        </w:rPr>
        <w:t xml:space="preserve">néhai </w:t>
      </w:r>
      <w:r>
        <w:rPr>
          <w:b w:val="0"/>
          <w:color w:val="002060"/>
          <w:sz w:val="28"/>
          <w:szCs w:val="28"/>
        </w:rPr>
        <w:t>családtagjai</w:t>
      </w:r>
      <w:r w:rsidR="004A01CE">
        <w:rPr>
          <w:b w:val="0"/>
          <w:color w:val="002060"/>
          <w:sz w:val="28"/>
          <w:szCs w:val="28"/>
        </w:rPr>
        <w:t xml:space="preserve"> sírjánál</w:t>
      </w:r>
      <w:r>
        <w:rPr>
          <w:b w:val="0"/>
          <w:color w:val="002060"/>
          <w:sz w:val="28"/>
          <w:szCs w:val="28"/>
        </w:rPr>
        <w:t xml:space="preserve">. Ilyenkor kevésbé figyelünk értékeinkre, gyászunk és az előttünk álló hosszú utazás, illetve a további temetők meglátogatásának </w:t>
      </w:r>
      <w:r w:rsidR="00490B1C">
        <w:rPr>
          <w:b w:val="0"/>
          <w:color w:val="002060"/>
          <w:sz w:val="28"/>
          <w:szCs w:val="28"/>
        </w:rPr>
        <w:t>tervezése elvonja figyelmünket, miközben vannak, akik ezt az alkalmat használják fel, hogy megkárosítsák, bűncselekmény áldozatává, sértettjévé tegyék embertársaikat.</w:t>
      </w:r>
    </w:p>
    <w:p w14:paraId="0B212E14" w14:textId="77777777" w:rsidR="00490B1C" w:rsidRDefault="00490B1C" w:rsidP="00FB5B85">
      <w:pPr>
        <w:jc w:val="both"/>
        <w:rPr>
          <w:b w:val="0"/>
          <w:color w:val="002060"/>
          <w:sz w:val="28"/>
          <w:szCs w:val="28"/>
        </w:rPr>
      </w:pPr>
    </w:p>
    <w:p w14:paraId="12F16D8A" w14:textId="77777777" w:rsidR="00FB5B85" w:rsidRPr="005201A4" w:rsidRDefault="00490B1C" w:rsidP="00FB5B85">
      <w:pPr>
        <w:jc w:val="both"/>
        <w:rPr>
          <w:b w:val="0"/>
          <w:color w:val="002060"/>
          <w:sz w:val="20"/>
          <w:szCs w:val="20"/>
        </w:rPr>
      </w:pPr>
      <w:r w:rsidRPr="00490B1C">
        <w:rPr>
          <w:b w:val="0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15DAF6" wp14:editId="4E7DF066">
                <wp:simplePos x="0" y="0"/>
                <wp:positionH relativeFrom="column">
                  <wp:posOffset>2395855</wp:posOffset>
                </wp:positionH>
                <wp:positionV relativeFrom="paragraph">
                  <wp:posOffset>6350</wp:posOffset>
                </wp:positionV>
                <wp:extent cx="3267075" cy="1603375"/>
                <wp:effectExtent l="0" t="0" r="28575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81B0" w14:textId="77777777" w:rsidR="00490B1C" w:rsidRPr="00490B1C" w:rsidRDefault="00490B1C" w:rsidP="00490B1C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90B1C">
                              <w:rPr>
                                <w:b w:val="0"/>
                                <w:color w:val="002060"/>
                                <w:sz w:val="28"/>
                                <w:szCs w:val="28"/>
                              </w:rPr>
                              <w:t>A tapasztalatok azt mutatják, hogy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01A4">
                              <w:rPr>
                                <w:b w:val="0"/>
                                <w:color w:val="002060"/>
                                <w:sz w:val="28"/>
                                <w:szCs w:val="28"/>
                              </w:rPr>
                              <w:t>ilyenkor közvetlenül a temetők környékén gyakrabban fordul elő gépkocsi feltörés, kerékpárlopás, zseblopás, táskalopás, valamint a lakás tulajdonos távollétét kihasználó betörés, besurranás.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88.65pt;margin-top:.5pt;width:257.25pt;height:1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" strokecolor="white [3212]">
                <v:textbox>
                  <w:txbxContent>
                    <w:p w:rsidR="00490B1C" w:rsidRPr="00490B1C" w:rsidRDefault="00490B1C" w:rsidP="00490B1C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490B1C">
                        <w:rPr>
                          <w:b w:val="0"/>
                          <w:color w:val="002060"/>
                          <w:sz w:val="28"/>
                          <w:szCs w:val="28"/>
                        </w:rPr>
                        <w:t>A tapasztalatok azt mutatják, hogy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5201A4">
                        <w:rPr>
                          <w:b w:val="0"/>
                          <w:color w:val="002060"/>
                          <w:sz w:val="28"/>
                          <w:szCs w:val="28"/>
                        </w:rPr>
                        <w:t xml:space="preserve">ilyenkor közvetlenül a temetők környékén gyakrabban fordul elő gépkocsi feltörés, kerékpárlopás, zseblopás, táskalopás, valamint a lakás tulajdonos távollétét </w:t>
                      </w:r>
                      <w:bookmarkStart w:id="1" w:name="_GoBack"/>
                      <w:r w:rsidRPr="005201A4">
                        <w:rPr>
                          <w:b w:val="0"/>
                          <w:color w:val="002060"/>
                          <w:sz w:val="28"/>
                          <w:szCs w:val="28"/>
                        </w:rPr>
                        <w:t xml:space="preserve">kihasználó </w:t>
                      </w:r>
                      <w:bookmarkEnd w:id="1"/>
                      <w:r w:rsidRPr="005201A4">
                        <w:rPr>
                          <w:b w:val="0"/>
                          <w:color w:val="002060"/>
                          <w:sz w:val="28"/>
                          <w:szCs w:val="28"/>
                        </w:rPr>
                        <w:t>betörés, besurranás.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2060"/>
          <w:sz w:val="28"/>
          <w:szCs w:val="28"/>
        </w:rPr>
        <w:drawing>
          <wp:inline distT="0" distB="0" distL="0" distR="0" wp14:anchorId="507C5B83" wp14:editId="4DCF7DFE">
            <wp:extent cx="2272030" cy="1542197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denszent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97" cy="162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2060"/>
          <w:sz w:val="28"/>
          <w:szCs w:val="28"/>
        </w:rPr>
        <w:t xml:space="preserve"> </w:t>
      </w:r>
    </w:p>
    <w:p w14:paraId="53040A6B" w14:textId="77777777" w:rsidR="00490B1C" w:rsidRDefault="00490B1C" w:rsidP="00FB5B85">
      <w:pPr>
        <w:jc w:val="both"/>
        <w:rPr>
          <w:b w:val="0"/>
          <w:color w:val="002060"/>
          <w:sz w:val="28"/>
          <w:szCs w:val="28"/>
        </w:rPr>
      </w:pPr>
    </w:p>
    <w:p w14:paraId="5D10890E" w14:textId="77777777" w:rsidR="00817947" w:rsidRPr="00817947" w:rsidRDefault="00FB5B85" w:rsidP="00BC3D50">
      <w:pPr>
        <w:jc w:val="both"/>
        <w:rPr>
          <w:b w:val="0"/>
          <w:color w:val="002060"/>
          <w:sz w:val="28"/>
          <w:szCs w:val="28"/>
        </w:rPr>
      </w:pPr>
      <w:r w:rsidRPr="005201A4">
        <w:rPr>
          <w:b w:val="0"/>
          <w:color w:val="002060"/>
          <w:sz w:val="28"/>
          <w:szCs w:val="28"/>
        </w:rPr>
        <w:t xml:space="preserve">A Rendőrség idén is megkülönböztetett figyelmet fordít a kegyelet napjaira, </w:t>
      </w:r>
      <w:r w:rsidR="006F0C51">
        <w:rPr>
          <w:b w:val="0"/>
          <w:color w:val="002060"/>
          <w:sz w:val="28"/>
          <w:szCs w:val="28"/>
        </w:rPr>
        <w:t xml:space="preserve">a csendes főhajtás zavartalansága, valamint </w:t>
      </w:r>
      <w:r w:rsidRPr="005201A4">
        <w:rPr>
          <w:b w:val="0"/>
          <w:color w:val="002060"/>
          <w:sz w:val="28"/>
          <w:szCs w:val="28"/>
        </w:rPr>
        <w:t xml:space="preserve">az áldozattá válás megelőzése érdekében </w:t>
      </w:r>
      <w:r w:rsidRPr="005201A4">
        <w:rPr>
          <w:color w:val="002060"/>
          <w:sz w:val="28"/>
          <w:szCs w:val="28"/>
          <w:u w:val="single"/>
        </w:rPr>
        <w:t xml:space="preserve">kérjük fokozottan figyeljenek értékeikre, </w:t>
      </w:r>
      <w:r w:rsidRPr="005201A4">
        <w:rPr>
          <w:b w:val="0"/>
          <w:color w:val="002060"/>
          <w:sz w:val="28"/>
          <w:szCs w:val="28"/>
        </w:rPr>
        <w:t xml:space="preserve">fogadják meg a </w:t>
      </w:r>
      <w:r w:rsidR="00BC3D50">
        <w:rPr>
          <w:b w:val="0"/>
          <w:color w:val="002060"/>
          <w:sz w:val="28"/>
          <w:szCs w:val="28"/>
        </w:rPr>
        <w:t>Rendőrség tanácsait!</w:t>
      </w:r>
    </w:p>
    <w:p w14:paraId="5E66C449" w14:textId="77777777" w:rsidR="00FB5B85" w:rsidRDefault="00FB5B85" w:rsidP="00FB5B85">
      <w:pPr>
        <w:pStyle w:val="Listaszerbekezds"/>
        <w:rPr>
          <w:b w:val="0"/>
          <w:color w:val="002060"/>
          <w:sz w:val="28"/>
          <w:szCs w:val="28"/>
        </w:rPr>
      </w:pPr>
    </w:p>
    <w:p w14:paraId="27851B6F" w14:textId="77777777" w:rsidR="00BC3D50" w:rsidRDefault="00BC3D50" w:rsidP="00FB5B85">
      <w:pPr>
        <w:pStyle w:val="Listaszerbekezds"/>
        <w:rPr>
          <w:b w:val="0"/>
          <w:color w:val="002060"/>
          <w:sz w:val="28"/>
          <w:szCs w:val="28"/>
        </w:rPr>
      </w:pPr>
    </w:p>
    <w:p w14:paraId="387A2EEB" w14:textId="77777777" w:rsidR="00BC3D50" w:rsidRDefault="00BC3D50" w:rsidP="00FB5B85">
      <w:pPr>
        <w:pStyle w:val="Listaszerbekezds"/>
        <w:rPr>
          <w:b w:val="0"/>
          <w:color w:val="002060"/>
          <w:sz w:val="28"/>
          <w:szCs w:val="28"/>
        </w:rPr>
      </w:pPr>
    </w:p>
    <w:p w14:paraId="4266ACB0" w14:textId="77777777" w:rsidR="00BC3D50" w:rsidRDefault="00BC3D50" w:rsidP="00FB5B85">
      <w:pPr>
        <w:pStyle w:val="Listaszerbekezds"/>
        <w:rPr>
          <w:b w:val="0"/>
          <w:color w:val="002060"/>
          <w:sz w:val="28"/>
          <w:szCs w:val="28"/>
        </w:rPr>
      </w:pPr>
    </w:p>
    <w:p w14:paraId="77FBA211" w14:textId="77777777" w:rsidR="00BC3D50" w:rsidRDefault="00BC3D50" w:rsidP="00FB5B85">
      <w:pPr>
        <w:pStyle w:val="Listaszerbekezds"/>
        <w:rPr>
          <w:b w:val="0"/>
          <w:color w:val="002060"/>
          <w:sz w:val="28"/>
          <w:szCs w:val="28"/>
        </w:rPr>
      </w:pPr>
    </w:p>
    <w:p w14:paraId="0B8566FB" w14:textId="77777777" w:rsidR="00345D1F" w:rsidRDefault="00345D1F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</w:p>
    <w:p w14:paraId="17CC67F4" w14:textId="77777777" w:rsidR="00345D1F" w:rsidRPr="00345D1F" w:rsidRDefault="00345D1F" w:rsidP="00345D1F">
      <w:pPr>
        <w:ind w:left="360"/>
        <w:jc w:val="both"/>
        <w:rPr>
          <w:b w:val="0"/>
          <w:color w:val="002060"/>
          <w:sz w:val="28"/>
          <w:szCs w:val="28"/>
        </w:rPr>
      </w:pPr>
    </w:p>
    <w:p w14:paraId="17BCBB08" w14:textId="77777777" w:rsidR="00345D1F" w:rsidRDefault="00345D1F" w:rsidP="00345D1F">
      <w:pPr>
        <w:pStyle w:val="Listaszerbekezds"/>
        <w:ind w:left="720"/>
        <w:jc w:val="both"/>
        <w:rPr>
          <w:b w:val="0"/>
          <w:color w:val="002060"/>
          <w:sz w:val="28"/>
          <w:szCs w:val="28"/>
        </w:rPr>
      </w:pPr>
    </w:p>
    <w:p w14:paraId="3E5FEF02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Ne hagyják őrizetlenül táskájukat miközben a sírt rendezik, ha vízért, vagy csupán a hulladékgyűjtőhöz mennek!</w:t>
      </w:r>
    </w:p>
    <w:p w14:paraId="0160F60C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Kerüljék el a nagyobb csoportosulásokat, a zsebtolvajok mindig nagy tömegben „dolgoznak”!</w:t>
      </w:r>
    </w:p>
    <w:p w14:paraId="7FCBE76C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A temetők látogatása idején lehetőség szerint – különösen az idősek és a hölgyek – ne maradjanak sötétedés után, főleg ne egyedül!</w:t>
      </w:r>
    </w:p>
    <w:p w14:paraId="4C7A1BDC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Csak annyi pénz legyen Önöknél, amennyire feltétlenül szükség van!</w:t>
      </w:r>
    </w:p>
    <w:p w14:paraId="038BB572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Autóikkal lehetőség szerint kivilágított, jól látható helyen parkoljanak!</w:t>
      </w:r>
    </w:p>
    <w:p w14:paraId="21BC86D2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Bármilyen rövid időre hagyják el a járműveiket, minden esetben zárják le és látható helyen ne hagyjanak benne értékeket (táska, mobiltelefon, pénztárca, kabát stb.) inkább tegyék a csomagtartóba!</w:t>
      </w:r>
    </w:p>
    <w:p w14:paraId="588CE6CD" w14:textId="77777777" w:rsidR="00BC3D50" w:rsidRDefault="00BC3D50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A temetők környékén számoljanak a megnövekedő gyalogos és gépjármű forgalommal! Mielőtt útnak indulnak, tájékozódjanak a temetők nyitva tartásáról, a temetőbe b</w:t>
      </w:r>
      <w:r w:rsidR="001C591C">
        <w:rPr>
          <w:b w:val="0"/>
          <w:color w:val="002060"/>
          <w:sz w:val="28"/>
          <w:szCs w:val="28"/>
        </w:rPr>
        <w:t>ehajtás és a parkolás rendjéről!</w:t>
      </w:r>
    </w:p>
    <w:p w14:paraId="307F2F60" w14:textId="77777777" w:rsidR="00BC3D50" w:rsidRDefault="004B0813" w:rsidP="004B0813">
      <w:pPr>
        <w:pStyle w:val="Listaszerbekezds"/>
        <w:numPr>
          <w:ilvl w:val="0"/>
          <w:numId w:val="14"/>
        </w:numPr>
        <w:jc w:val="both"/>
        <w:rPr>
          <w:b w:val="0"/>
          <w:color w:val="002060"/>
          <w:sz w:val="28"/>
          <w:szCs w:val="28"/>
        </w:rPr>
      </w:pPr>
      <w:r>
        <w:rPr>
          <w:b w:val="0"/>
          <w:color w:val="002060"/>
          <w:sz w:val="28"/>
          <w:szCs w:val="28"/>
        </w:rPr>
        <w:t>Autóbuszon közlekedőknek számítani lehet arra, hogy a zsebtolvajok vegyülnek az utazó emberek közé, akik a zsúfoltságot kihasználva megfoszthatják az utasokat k</w:t>
      </w:r>
      <w:r w:rsidR="001C591C">
        <w:rPr>
          <w:b w:val="0"/>
          <w:color w:val="002060"/>
          <w:sz w:val="28"/>
          <w:szCs w:val="28"/>
        </w:rPr>
        <w:t>ézitáskájuktól, pénztárcájuktól!</w:t>
      </w:r>
      <w:r>
        <w:rPr>
          <w:b w:val="0"/>
          <w:color w:val="002060"/>
          <w:sz w:val="28"/>
          <w:szCs w:val="28"/>
        </w:rPr>
        <w:t xml:space="preserve"> </w:t>
      </w:r>
    </w:p>
    <w:p w14:paraId="1A4934BE" w14:textId="77777777" w:rsidR="00FB5B85" w:rsidRDefault="00FB5B85" w:rsidP="00817947">
      <w:pPr>
        <w:rPr>
          <w:b w:val="0"/>
          <w:bCs/>
          <w:i/>
          <w:color w:val="002060"/>
        </w:rPr>
      </w:pPr>
    </w:p>
    <w:p w14:paraId="05791FB7" w14:textId="77777777" w:rsidR="00D40657" w:rsidRDefault="00D40657" w:rsidP="00D40657">
      <w:pPr>
        <w:jc w:val="right"/>
        <w:rPr>
          <w:b w:val="0"/>
          <w:color w:val="FF0000"/>
          <w:sz w:val="28"/>
          <w:szCs w:val="28"/>
        </w:rPr>
      </w:pPr>
      <w:r w:rsidRPr="001F4908">
        <w:rPr>
          <w:b w:val="0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21451A" wp14:editId="1364C965">
                <wp:simplePos x="0" y="0"/>
                <wp:positionH relativeFrom="column">
                  <wp:posOffset>-33655</wp:posOffset>
                </wp:positionH>
                <wp:positionV relativeFrom="paragraph">
                  <wp:posOffset>262255</wp:posOffset>
                </wp:positionV>
                <wp:extent cx="2590800" cy="1725930"/>
                <wp:effectExtent l="0" t="0" r="19050" b="2667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CB68" w14:textId="77777777" w:rsidR="00D40657" w:rsidRDefault="00D40657" w:rsidP="00D40657">
                            <w:pPr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4CA2819" w14:textId="77777777" w:rsidR="00345D1F" w:rsidRDefault="00345D1F" w:rsidP="00D40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A7146B0" w14:textId="77777777" w:rsidR="00D40657" w:rsidRDefault="00D40657" w:rsidP="00D40657">
                            <w:pPr>
                              <w:jc w:val="center"/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435">
                              <w:rPr>
                                <w:color w:val="FF0000"/>
                                <w:sz w:val="28"/>
                                <w:szCs w:val="28"/>
                              </w:rPr>
                              <w:t>Ha bűncselekmény áldozatává válik,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8D243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zonnal értesítse a rendőrséget a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112-es segélyhívó számon!</w:t>
                            </w:r>
                          </w:p>
                          <w:p w14:paraId="36B18E4D" w14:textId="77777777" w:rsidR="00D40657" w:rsidRDefault="00D40657" w:rsidP="00D40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DA6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65pt;margin-top:20.65pt;width:204pt;height:135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" strokecolor="white [3212]">
                <v:textbox>
                  <w:txbxContent>
                    <w:p w:rsidR="00D40657" w:rsidRDefault="00D40657" w:rsidP="00D40657">
                      <w:pPr>
                        <w:rPr>
                          <w:b w:val="0"/>
                          <w:color w:val="FF0000"/>
                          <w:sz w:val="28"/>
                          <w:szCs w:val="28"/>
                        </w:rPr>
                      </w:pPr>
                    </w:p>
                    <w:p w:rsidR="00345D1F" w:rsidRDefault="00345D1F" w:rsidP="00D40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D40657" w:rsidRDefault="00D40657" w:rsidP="00D40657">
                      <w:pPr>
                        <w:jc w:val="center"/>
                        <w:rPr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8D2435">
                        <w:rPr>
                          <w:color w:val="FF0000"/>
                          <w:sz w:val="28"/>
                          <w:szCs w:val="28"/>
                        </w:rPr>
                        <w:t>Ha bűncselekmény áldozatává válik,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a</w:t>
                      </w:r>
                      <w:r w:rsidRPr="008D2435">
                        <w:rPr>
                          <w:color w:val="FF0000"/>
                          <w:sz w:val="28"/>
                          <w:szCs w:val="28"/>
                        </w:rPr>
                        <w:t xml:space="preserve">zonnal értesítse a rendőrséget a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112-es segélyhívó számon!</w:t>
                      </w:r>
                    </w:p>
                    <w:p w:rsidR="00D40657" w:rsidRDefault="00D40657" w:rsidP="00D4065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2435">
        <w:rPr>
          <w:color w:val="FF0000"/>
          <w:sz w:val="28"/>
          <w:szCs w:val="28"/>
        </w:rPr>
        <w:t xml:space="preserve"> </w:t>
      </w:r>
      <w:r>
        <w:rPr>
          <w:b w:val="0"/>
          <w:noProof/>
          <w:color w:val="FF0000"/>
          <w:sz w:val="28"/>
          <w:szCs w:val="28"/>
        </w:rPr>
        <w:drawing>
          <wp:inline distT="0" distB="0" distL="0" distR="0" wp14:anchorId="1C8EDE18" wp14:editId="2FEAED40">
            <wp:extent cx="3041650" cy="2210937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2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987" cy="222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55EC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4466F92E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3D722743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5F590F1A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76A54982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3E02041A" w14:textId="77777777" w:rsidR="00345D1F" w:rsidRDefault="00345D1F" w:rsidP="00D40657">
      <w:pPr>
        <w:jc w:val="center"/>
        <w:rPr>
          <w:i/>
          <w:sz w:val="16"/>
          <w:szCs w:val="16"/>
        </w:rPr>
      </w:pPr>
    </w:p>
    <w:p w14:paraId="6E64274B" w14:textId="77777777" w:rsidR="00D40657" w:rsidRDefault="00D40657" w:rsidP="00D40657">
      <w:pPr>
        <w:jc w:val="center"/>
        <w:rPr>
          <w:i/>
          <w:sz w:val="16"/>
          <w:szCs w:val="16"/>
        </w:rPr>
      </w:pPr>
      <w:r w:rsidRPr="00953685">
        <w:rPr>
          <w:i/>
          <w:sz w:val="16"/>
          <w:szCs w:val="16"/>
        </w:rPr>
        <w:t xml:space="preserve">Hozzájárulásunkat adjuk ahhoz, hogy Kedves Olvasóink a Hírlevél tartalmát részben vagy egészben szabadon felhasználják, a célcsoportok felé eljuttassák. </w:t>
      </w:r>
    </w:p>
    <w:p w14:paraId="13445DE3" w14:textId="77777777" w:rsidR="00D40657" w:rsidRDefault="00D40657" w:rsidP="00D40657">
      <w:pPr>
        <w:jc w:val="center"/>
      </w:pPr>
      <w:r w:rsidRPr="00953685">
        <w:rPr>
          <w:i/>
          <w:sz w:val="16"/>
          <w:szCs w:val="16"/>
        </w:rPr>
        <w:t>Kérjük azonban, hogy a terjesztés során hivatkozzanak arra, hogy a Hírlevelet a Szabolcs-Szatmár-Bereg Megyei Rendőr-főkapitányság Bűnmegelőzési Osztálya készítette.</w:t>
      </w:r>
    </w:p>
    <w:p w14:paraId="40D287D6" w14:textId="77777777" w:rsidR="005474CB" w:rsidRPr="005201A4" w:rsidRDefault="005474CB" w:rsidP="00D40657">
      <w:pPr>
        <w:jc w:val="both"/>
      </w:pPr>
    </w:p>
    <w:sectPr w:rsidR="005474CB" w:rsidRPr="005201A4" w:rsidSect="00F05C00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8DCE" w14:textId="77777777" w:rsidR="006610F2" w:rsidRDefault="006610F2" w:rsidP="0039666A">
      <w:r>
        <w:separator/>
      </w:r>
    </w:p>
  </w:endnote>
  <w:endnote w:type="continuationSeparator" w:id="0">
    <w:p w14:paraId="5D3AE6EF" w14:textId="77777777" w:rsidR="006610F2" w:rsidRDefault="006610F2" w:rsidP="003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D40657" w:rsidRPr="008E33BD" w14:paraId="154491D0" w14:textId="77777777" w:rsidTr="007D35E5">
      <w:trPr>
        <w:cantSplit/>
        <w:trHeight w:val="1418"/>
      </w:trPr>
      <w:tc>
        <w:tcPr>
          <w:tcW w:w="1180" w:type="dxa"/>
        </w:tcPr>
        <w:p w14:paraId="0B40673C" w14:textId="77777777" w:rsidR="00D40657" w:rsidRPr="008E33BD" w:rsidRDefault="00D40657" w:rsidP="00D40657">
          <w:pPr>
            <w:tabs>
              <w:tab w:val="left" w:pos="1276"/>
            </w:tabs>
            <w:jc w:val="center"/>
            <w:rPr>
              <w:sz w:val="20"/>
              <w:szCs w:val="20"/>
            </w:rPr>
          </w:pPr>
        </w:p>
      </w:tc>
      <w:tc>
        <w:tcPr>
          <w:tcW w:w="7560" w:type="dxa"/>
        </w:tcPr>
        <w:p w14:paraId="40C52796" w14:textId="77777777" w:rsidR="00D40657" w:rsidRDefault="00D40657" w:rsidP="00D40657">
          <w:pPr>
            <w:tabs>
              <w:tab w:val="left" w:pos="1276"/>
            </w:tabs>
            <w:jc w:val="center"/>
            <w:rPr>
              <w:b w:val="0"/>
              <w:sz w:val="16"/>
              <w:szCs w:val="16"/>
            </w:rPr>
          </w:pPr>
        </w:p>
        <w:p w14:paraId="668C8792" w14:textId="77777777" w:rsidR="00D40657" w:rsidRPr="008E33BD" w:rsidRDefault="00D40657" w:rsidP="00D40657">
          <w:pPr>
            <w:tabs>
              <w:tab w:val="left" w:pos="1276"/>
            </w:tabs>
            <w:jc w:val="center"/>
            <w:rPr>
              <w:b w:val="0"/>
              <w:sz w:val="16"/>
              <w:szCs w:val="16"/>
            </w:rPr>
          </w:pPr>
          <w:r w:rsidRPr="008E33BD">
            <w:rPr>
              <w:sz w:val="16"/>
              <w:szCs w:val="16"/>
            </w:rPr>
            <w:t xml:space="preserve">SZABOLCS-SZATMÁR-BEREG </w:t>
          </w:r>
          <w:r w:rsidR="00B1191C">
            <w:rPr>
              <w:sz w:val="16"/>
              <w:szCs w:val="16"/>
            </w:rPr>
            <w:t>VÁR</w:t>
          </w:r>
          <w:r w:rsidRPr="008E33BD">
            <w:rPr>
              <w:sz w:val="16"/>
              <w:szCs w:val="16"/>
            </w:rPr>
            <w:t>MEGYEI RENDŐR-FŐKAPITÁNYSÁG</w:t>
          </w:r>
        </w:p>
        <w:p w14:paraId="3839E353" w14:textId="77777777" w:rsidR="00D40657" w:rsidRPr="008E33BD" w:rsidRDefault="00D40657" w:rsidP="00D40657">
          <w:pPr>
            <w:tabs>
              <w:tab w:val="left" w:pos="1276"/>
            </w:tabs>
            <w:jc w:val="center"/>
            <w:rPr>
              <w:b w:val="0"/>
              <w:sz w:val="16"/>
              <w:szCs w:val="16"/>
            </w:rPr>
          </w:pPr>
          <w:r w:rsidRPr="008E33BD">
            <w:rPr>
              <w:sz w:val="16"/>
              <w:szCs w:val="16"/>
            </w:rPr>
            <w:t>BŰNÜGYI IGAZGATÓSÁG</w:t>
          </w:r>
        </w:p>
        <w:p w14:paraId="1FD2C796" w14:textId="77777777" w:rsidR="00D40657" w:rsidRPr="008E33BD" w:rsidRDefault="00D40657" w:rsidP="00D40657">
          <w:pPr>
            <w:tabs>
              <w:tab w:val="left" w:pos="1276"/>
            </w:tabs>
            <w:jc w:val="center"/>
            <w:rPr>
              <w:b w:val="0"/>
              <w:sz w:val="16"/>
              <w:szCs w:val="16"/>
            </w:rPr>
          </w:pPr>
          <w:r w:rsidRPr="008E33BD">
            <w:rPr>
              <w:sz w:val="16"/>
              <w:szCs w:val="16"/>
            </w:rPr>
            <w:t>BŰNMEGELŐZÉSI OSZTÁLY</w:t>
          </w:r>
        </w:p>
        <w:p w14:paraId="743F9690" w14:textId="77777777" w:rsidR="00D40657" w:rsidRPr="008E33BD" w:rsidRDefault="00D40657" w:rsidP="00D40657">
          <w:pPr>
            <w:tabs>
              <w:tab w:val="left" w:pos="1276"/>
            </w:tabs>
            <w:jc w:val="center"/>
            <w:rPr>
              <w:sz w:val="16"/>
              <w:szCs w:val="16"/>
            </w:rPr>
          </w:pPr>
          <w:r w:rsidRPr="008E33BD">
            <w:rPr>
              <w:sz w:val="16"/>
              <w:szCs w:val="16"/>
            </w:rPr>
            <w:t xml:space="preserve">Cím: 4400 Nyíregyháza, </w:t>
          </w:r>
          <w:proofErr w:type="spellStart"/>
          <w:r w:rsidRPr="008E33BD">
            <w:rPr>
              <w:sz w:val="16"/>
              <w:szCs w:val="16"/>
            </w:rPr>
            <w:t>Bujtos</w:t>
          </w:r>
          <w:proofErr w:type="spellEnd"/>
          <w:r w:rsidRPr="008E33BD">
            <w:rPr>
              <w:sz w:val="16"/>
              <w:szCs w:val="16"/>
            </w:rPr>
            <w:t xml:space="preserve"> utca 2. Postacím: 4401 Nyíregyháza, Pf.:66</w:t>
          </w:r>
        </w:p>
        <w:p w14:paraId="468000AF" w14:textId="77777777" w:rsidR="00D40657" w:rsidRPr="008E33BD" w:rsidRDefault="00D40657" w:rsidP="00D40657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14:paraId="37A7027B" w14:textId="77777777" w:rsidR="00D40657" w:rsidRPr="007D35E5" w:rsidRDefault="00D40657" w:rsidP="00D40657">
          <w:pPr>
            <w:jc w:val="center"/>
            <w:rPr>
              <w:b w:val="0"/>
              <w:sz w:val="20"/>
              <w:szCs w:val="20"/>
            </w:rPr>
          </w:pPr>
          <w:r w:rsidRPr="007D35E5">
            <w:rPr>
              <w:b w:val="0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14:paraId="1D16F869" w14:textId="77777777" w:rsidR="00D40657" w:rsidRPr="008E33BD" w:rsidRDefault="00D40657" w:rsidP="00D40657">
          <w:pPr>
            <w:jc w:val="center"/>
            <w:rPr>
              <w:sz w:val="20"/>
              <w:szCs w:val="20"/>
            </w:rPr>
          </w:pPr>
        </w:p>
      </w:tc>
    </w:tr>
  </w:tbl>
  <w:p w14:paraId="029A9ED9" w14:textId="77777777" w:rsidR="00D40657" w:rsidRPr="008E33BD" w:rsidRDefault="00D40657" w:rsidP="00D40657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F263" w14:textId="77777777" w:rsidR="006610F2" w:rsidRDefault="006610F2" w:rsidP="0039666A">
      <w:r>
        <w:separator/>
      </w:r>
    </w:p>
  </w:footnote>
  <w:footnote w:type="continuationSeparator" w:id="0">
    <w:p w14:paraId="57A5592A" w14:textId="77777777" w:rsidR="006610F2" w:rsidRDefault="006610F2" w:rsidP="0039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94A"/>
    <w:multiLevelType w:val="hybridMultilevel"/>
    <w:tmpl w:val="8AF6A9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65A"/>
    <w:multiLevelType w:val="hybridMultilevel"/>
    <w:tmpl w:val="D92E74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F36"/>
    <w:multiLevelType w:val="hybridMultilevel"/>
    <w:tmpl w:val="B0F67464"/>
    <w:lvl w:ilvl="0" w:tplc="9B22D72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F376A68"/>
    <w:multiLevelType w:val="hybridMultilevel"/>
    <w:tmpl w:val="0EE4A404"/>
    <w:lvl w:ilvl="0" w:tplc="86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AB2"/>
    <w:multiLevelType w:val="hybridMultilevel"/>
    <w:tmpl w:val="5A4473EC"/>
    <w:lvl w:ilvl="0" w:tplc="0D0C0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4D8B"/>
    <w:multiLevelType w:val="hybridMultilevel"/>
    <w:tmpl w:val="2B361C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7A8"/>
    <w:multiLevelType w:val="hybridMultilevel"/>
    <w:tmpl w:val="9A4E37B8"/>
    <w:lvl w:ilvl="0" w:tplc="49FA8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A19E0"/>
    <w:multiLevelType w:val="hybridMultilevel"/>
    <w:tmpl w:val="BBD67B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488E"/>
    <w:multiLevelType w:val="hybridMultilevel"/>
    <w:tmpl w:val="59E2A626"/>
    <w:lvl w:ilvl="0" w:tplc="990E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5C26"/>
    <w:multiLevelType w:val="hybridMultilevel"/>
    <w:tmpl w:val="95BA951E"/>
    <w:lvl w:ilvl="0" w:tplc="0C765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4D7B"/>
    <w:multiLevelType w:val="hybridMultilevel"/>
    <w:tmpl w:val="85DEF442"/>
    <w:lvl w:ilvl="0" w:tplc="89748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7661D7"/>
    <w:multiLevelType w:val="hybridMultilevel"/>
    <w:tmpl w:val="DD7436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9D6"/>
    <w:multiLevelType w:val="hybridMultilevel"/>
    <w:tmpl w:val="43D48358"/>
    <w:lvl w:ilvl="0" w:tplc="2E2E1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2E32"/>
    <w:multiLevelType w:val="hybridMultilevel"/>
    <w:tmpl w:val="E618DC2E"/>
    <w:lvl w:ilvl="0" w:tplc="BB7E5F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931780">
    <w:abstractNumId w:val="11"/>
  </w:num>
  <w:num w:numId="2" w16cid:durableId="1193112410">
    <w:abstractNumId w:val="0"/>
  </w:num>
  <w:num w:numId="3" w16cid:durableId="1730805783">
    <w:abstractNumId w:val="5"/>
  </w:num>
  <w:num w:numId="4" w16cid:durableId="1326664636">
    <w:abstractNumId w:val="2"/>
  </w:num>
  <w:num w:numId="5" w16cid:durableId="1415056790">
    <w:abstractNumId w:val="3"/>
  </w:num>
  <w:num w:numId="6" w16cid:durableId="479424852">
    <w:abstractNumId w:val="8"/>
  </w:num>
  <w:num w:numId="7" w16cid:durableId="1786148855">
    <w:abstractNumId w:val="10"/>
  </w:num>
  <w:num w:numId="8" w16cid:durableId="30497590">
    <w:abstractNumId w:val="13"/>
  </w:num>
  <w:num w:numId="9" w16cid:durableId="292175568">
    <w:abstractNumId w:val="6"/>
  </w:num>
  <w:num w:numId="10" w16cid:durableId="818889570">
    <w:abstractNumId w:val="12"/>
  </w:num>
  <w:num w:numId="11" w16cid:durableId="1279293543">
    <w:abstractNumId w:val="9"/>
  </w:num>
  <w:num w:numId="12" w16cid:durableId="1796753152">
    <w:abstractNumId w:val="1"/>
  </w:num>
  <w:num w:numId="13" w16cid:durableId="189883456">
    <w:abstractNumId w:val="7"/>
  </w:num>
  <w:num w:numId="14" w16cid:durableId="181679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85"/>
    <w:rsid w:val="00002C26"/>
    <w:rsid w:val="00004344"/>
    <w:rsid w:val="00015F18"/>
    <w:rsid w:val="00061B12"/>
    <w:rsid w:val="00136F6F"/>
    <w:rsid w:val="001C591C"/>
    <w:rsid w:val="00254759"/>
    <w:rsid w:val="003377BD"/>
    <w:rsid w:val="00345D1F"/>
    <w:rsid w:val="0039666A"/>
    <w:rsid w:val="003D02D5"/>
    <w:rsid w:val="00457983"/>
    <w:rsid w:val="00490B1C"/>
    <w:rsid w:val="004A01CE"/>
    <w:rsid w:val="004B0813"/>
    <w:rsid w:val="005201A4"/>
    <w:rsid w:val="005474CB"/>
    <w:rsid w:val="005A4F90"/>
    <w:rsid w:val="006610F2"/>
    <w:rsid w:val="006C5952"/>
    <w:rsid w:val="006F0C51"/>
    <w:rsid w:val="0070659F"/>
    <w:rsid w:val="0075039D"/>
    <w:rsid w:val="00790C32"/>
    <w:rsid w:val="007D35E5"/>
    <w:rsid w:val="00817947"/>
    <w:rsid w:val="00897142"/>
    <w:rsid w:val="008B4052"/>
    <w:rsid w:val="008D63C8"/>
    <w:rsid w:val="00B1191C"/>
    <w:rsid w:val="00B63288"/>
    <w:rsid w:val="00BC3D50"/>
    <w:rsid w:val="00D1764A"/>
    <w:rsid w:val="00D40657"/>
    <w:rsid w:val="00DC27D3"/>
    <w:rsid w:val="00E13C43"/>
    <w:rsid w:val="00E32EF2"/>
    <w:rsid w:val="00E3644D"/>
    <w:rsid w:val="00EA76D3"/>
    <w:rsid w:val="00F30005"/>
    <w:rsid w:val="00F425FF"/>
    <w:rsid w:val="00F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4FB3"/>
  <w15:docId w15:val="{32099487-2355-45F7-AEEC-441DC9C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B8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Cmsor7">
    <w:name w:val="heading 7"/>
    <w:basedOn w:val="Norml"/>
    <w:next w:val="Norml"/>
    <w:link w:val="Cmsor7Char"/>
    <w:qFormat/>
    <w:rsid w:val="0039666A"/>
    <w:pPr>
      <w:spacing w:before="240" w:after="60"/>
      <w:outlineLvl w:val="6"/>
    </w:pPr>
    <w:rPr>
      <w:b w:val="0"/>
      <w:sz w:val="24"/>
      <w:szCs w:val="24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5B85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3966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666A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66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666A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7Char">
    <w:name w:val="Címsor 7 Char"/>
    <w:basedOn w:val="Bekezdsalapbettpusa"/>
    <w:link w:val="Cmsor7"/>
    <w:rsid w:val="0039666A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66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666A"/>
    <w:rPr>
      <w:rFonts w:ascii="Segoe UI" w:eastAsia="Times New Roman" w:hAnsi="Segoe UI" w:cs="Segoe UI"/>
      <w:b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Irén Mária</dc:creator>
  <cp:lastModifiedBy>János Munkácsi</cp:lastModifiedBy>
  <cp:revision>2</cp:revision>
  <cp:lastPrinted>2023-10-18T08:18:00Z</cp:lastPrinted>
  <dcterms:created xsi:type="dcterms:W3CDTF">2023-10-27T08:43:00Z</dcterms:created>
  <dcterms:modified xsi:type="dcterms:W3CDTF">2023-10-27T08:43:00Z</dcterms:modified>
</cp:coreProperties>
</file>